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1D9" w:rsidRDefault="00E161D9" w:rsidP="00E161D9">
      <w:pPr>
        <w:pStyle w:val="a3"/>
        <w:shd w:val="clear" w:color="auto" w:fill="FFFFFF"/>
        <w:spacing w:before="0" w:beforeAutospacing="0" w:after="0" w:afterAutospacing="0" w:line="720" w:lineRule="atLeast"/>
        <w:rPr>
          <w:rFonts w:ascii="微软雅黑" w:eastAsia="微软雅黑" w:hAnsi="微软雅黑"/>
          <w:sz w:val="21"/>
          <w:szCs w:val="21"/>
        </w:rPr>
      </w:pPr>
      <w:r>
        <w:rPr>
          <w:rStyle w:val="a4"/>
          <w:rFonts w:ascii="仿宋" w:eastAsia="仿宋" w:hAnsi="仿宋" w:hint="eastAsia"/>
          <w:sz w:val="32"/>
          <w:szCs w:val="32"/>
        </w:rPr>
        <w:t>1.什么是社会保障卡，社会保障卡有什么功能？</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z w:val="21"/>
          <w:szCs w:val="21"/>
        </w:rPr>
      </w:pPr>
      <w:r>
        <w:rPr>
          <w:rFonts w:ascii="仿宋" w:eastAsia="仿宋" w:hAnsi="仿宋" w:hint="eastAsia"/>
          <w:sz w:val="32"/>
          <w:szCs w:val="32"/>
        </w:rPr>
        <w:t>中华人民共和国社会保障卡是由人力资源和社会保障部统一规划，由各地人力资源和社会保障部门面向社会发行，用于人力资源和社会保障各项业务领域的集成电路（IC）卡。</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z w:val="21"/>
          <w:szCs w:val="21"/>
        </w:rPr>
      </w:pPr>
      <w:r>
        <w:rPr>
          <w:rFonts w:ascii="仿宋" w:eastAsia="仿宋" w:hAnsi="仿宋" w:hint="eastAsia"/>
          <w:sz w:val="32"/>
          <w:szCs w:val="32"/>
        </w:rPr>
        <w:t>社会保障卡具有电子凭证功能、信息记录功能、自助查询功能、就医结算功能、缴费和待遇领取功能、金融支付功能等102项人力资源社会保障功能，使用频率最高的功能是医保结算功能。</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z w:val="21"/>
          <w:szCs w:val="21"/>
        </w:rPr>
      </w:pPr>
      <w:r>
        <w:rPr>
          <w:rFonts w:ascii="仿宋" w:eastAsia="仿宋" w:hAnsi="仿宋" w:hint="eastAsia"/>
          <w:sz w:val="32"/>
          <w:szCs w:val="32"/>
        </w:rPr>
        <w:t>社会保障卡有两个帐户，分别是黄色芯片社保帐户和银行磁条帐户。其中芯片帐户存储医疗保险个人帐户金，专款专用，只能在定点医疗机构和零售药店就医购药刷卡使用；磁条帐户相当于普通的银行借记卡，可以在银行存取款用。养老保险退休金存储到银行磁条帐户，可以在银行正常支取。</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z w:val="21"/>
          <w:szCs w:val="21"/>
        </w:rPr>
      </w:pPr>
      <w:r>
        <w:rPr>
          <w:rFonts w:ascii="仿宋" w:eastAsia="仿宋" w:hAnsi="仿宋" w:hint="eastAsia"/>
          <w:sz w:val="32"/>
          <w:szCs w:val="32"/>
        </w:rPr>
        <w:t>目前东营市社会保障卡都可以开通电子社保卡（使用方法见第11条）。第三代社保卡还具有“闪付”功能，在公交车、停车场、商场和超市实现“一闪而过”快捷支付。</w:t>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z w:val="32"/>
          <w:szCs w:val="32"/>
        </w:rPr>
        <w:t>2.社会保障卡如何办理？</w:t>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Fonts w:ascii="仿宋" w:eastAsia="仿宋" w:hAnsi="仿宋"/>
          <w:noProof/>
          <w:sz w:val="32"/>
          <w:szCs w:val="32"/>
        </w:rPr>
        <w:lastRenderedPageBreak/>
        <w:drawing>
          <wp:inline distT="0" distB="0" distL="0" distR="0">
            <wp:extent cx="4758055" cy="1371600"/>
            <wp:effectExtent l="0" t="0" r="4445" b="0"/>
            <wp:docPr id="6" name="图片 6" descr="http://wzqlogin2.upc.edu.cn/_upload/article/images/be/44/bb0d63a04924b2f1492b7044214f/5ac5a6f1-0677-49ed-86b6-3586ca2503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zqlogin2.upc.edu.cn/_upload/article/images/be/44/bb0d63a04924b2f1492b7044214f/5ac5a6f1-0677-49ed-86b6-3586ca2503a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58055" cy="1371600"/>
                    </a:xfrm>
                    <a:prstGeom prst="rect">
                      <a:avLst/>
                    </a:prstGeom>
                    <a:noFill/>
                    <a:ln>
                      <a:noFill/>
                    </a:ln>
                  </pic:spPr>
                </pic:pic>
              </a:graphicData>
            </a:graphic>
          </wp:inline>
        </w:drawing>
      </w:r>
    </w:p>
    <w:p w:rsidR="00E161D9" w:rsidRDefault="00E161D9" w:rsidP="00E161D9">
      <w:pPr>
        <w:pStyle w:val="a3"/>
        <w:shd w:val="clear" w:color="auto" w:fill="FFFFFF"/>
        <w:spacing w:before="0" w:beforeAutospacing="0" w:after="0" w:afterAutospacing="0"/>
        <w:rPr>
          <w:rFonts w:ascii="微软雅黑" w:eastAsia="微软雅黑" w:hAnsi="微软雅黑" w:hint="eastAsia"/>
          <w:sz w:val="21"/>
          <w:szCs w:val="21"/>
        </w:rPr>
      </w:pP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z w:val="32"/>
          <w:szCs w:val="32"/>
        </w:rPr>
        <w:t>3.社会保障卡（黄色芯片）如何激活？</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pacing w:val="30"/>
          <w:sz w:val="21"/>
          <w:szCs w:val="21"/>
        </w:rPr>
      </w:pPr>
      <w:r>
        <w:rPr>
          <w:rFonts w:ascii="仿宋" w:eastAsia="仿宋" w:hAnsi="仿宋" w:hint="eastAsia"/>
          <w:sz w:val="32"/>
          <w:szCs w:val="32"/>
        </w:rPr>
        <w:t>6种方式，任选一种：持卡人携带身份证和社保卡到附近发卡挂牌银行网点、人社大厅、登录智慧人社APP、人社门户网站、拨打服务热线12333，都可以进行短信认证激活。</w:t>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pacing w:val="30"/>
          <w:sz w:val="32"/>
          <w:szCs w:val="32"/>
        </w:rPr>
        <w:t>4.社会保障卡（黄色芯片）密码如何修改？</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pacing w:val="30"/>
          <w:sz w:val="21"/>
          <w:szCs w:val="21"/>
        </w:rPr>
      </w:pPr>
      <w:r>
        <w:rPr>
          <w:rFonts w:ascii="仿宋" w:eastAsia="仿宋" w:hAnsi="仿宋" w:hint="eastAsia"/>
          <w:sz w:val="32"/>
          <w:szCs w:val="32"/>
        </w:rPr>
        <w:t>持卡人领到新卡后应尽快到零售药店修改芯片账户密码，卡初始密码为“123456”，密码修改后才能进行账户消费。</w:t>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pacing w:val="30"/>
          <w:sz w:val="32"/>
          <w:szCs w:val="32"/>
        </w:rPr>
        <w:t>5.社会保障卡（黄色芯片）密码如何解锁？</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pacing w:val="30"/>
          <w:sz w:val="21"/>
          <w:szCs w:val="21"/>
        </w:rPr>
      </w:pPr>
      <w:r>
        <w:rPr>
          <w:rFonts w:ascii="仿宋" w:eastAsia="仿宋" w:hAnsi="仿宋" w:hint="eastAsia"/>
          <w:sz w:val="32"/>
          <w:szCs w:val="32"/>
        </w:rPr>
        <w:t>社保卡使用时密码输错累计三次将会锁定，需本人携带身份证和社保卡到市、县、乡镇人社所服务窗口办理密码重置。</w:t>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pacing w:val="30"/>
          <w:sz w:val="32"/>
          <w:szCs w:val="32"/>
        </w:rPr>
        <w:t>6.社会保障卡丢失后如何挂失？</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pacing w:val="30"/>
          <w:sz w:val="21"/>
          <w:szCs w:val="21"/>
        </w:rPr>
      </w:pPr>
      <w:r>
        <w:rPr>
          <w:rFonts w:ascii="仿宋" w:eastAsia="仿宋" w:hAnsi="仿宋" w:hint="eastAsia"/>
          <w:sz w:val="32"/>
          <w:szCs w:val="32"/>
        </w:rPr>
        <w:t>4种方式，任选一种：拨打12333（工作日内）、登录“东营市人力资源和社会保障局”门户网站、智慧人社APP、市县乡镇人社大厅窗口现场办理。</w:t>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z w:val="32"/>
          <w:szCs w:val="32"/>
        </w:rPr>
        <w:lastRenderedPageBreak/>
        <w:t>7.社会保障卡如何办理解除挂失？</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pacing w:val="30"/>
          <w:sz w:val="21"/>
          <w:szCs w:val="21"/>
        </w:rPr>
      </w:pPr>
      <w:r>
        <w:rPr>
          <w:rFonts w:ascii="仿宋" w:eastAsia="仿宋" w:hAnsi="仿宋" w:hint="eastAsia"/>
          <w:sz w:val="32"/>
          <w:szCs w:val="32"/>
        </w:rPr>
        <w:t>持卡人携带身份证和社保卡到市、县、乡镇社保卡窗口办理（前提条件是未去银行办理挂失业务）。</w:t>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z w:val="32"/>
          <w:szCs w:val="32"/>
        </w:rPr>
        <w:t>8.社会保障卡如何挂失补办？</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pacing w:val="30"/>
          <w:sz w:val="21"/>
          <w:szCs w:val="21"/>
        </w:rPr>
      </w:pPr>
      <w:r>
        <w:rPr>
          <w:rFonts w:ascii="仿宋" w:eastAsia="仿宋" w:hAnsi="仿宋" w:hint="eastAsia"/>
          <w:sz w:val="32"/>
          <w:szCs w:val="32"/>
        </w:rPr>
        <w:t>本人携带身份证到原社保卡所属挂牌银行网点办理补卡，即时出卡。</w:t>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z w:val="32"/>
          <w:szCs w:val="32"/>
        </w:rPr>
        <w:t>9. 社会保障卡消费明细如何查询？</w:t>
      </w:r>
    </w:p>
    <w:p w:rsidR="00E161D9" w:rsidRDefault="00E161D9" w:rsidP="00E161D9">
      <w:pPr>
        <w:pStyle w:val="a3"/>
        <w:shd w:val="clear" w:color="auto" w:fill="FFFFFF"/>
        <w:spacing w:before="0" w:beforeAutospacing="0" w:after="0" w:afterAutospacing="0" w:line="720" w:lineRule="atLeast"/>
        <w:ind w:firstLine="480"/>
        <w:jc w:val="both"/>
        <w:rPr>
          <w:rFonts w:ascii="微软雅黑" w:eastAsia="微软雅黑" w:hAnsi="微软雅黑" w:hint="eastAsia"/>
          <w:spacing w:val="30"/>
          <w:sz w:val="21"/>
          <w:szCs w:val="21"/>
        </w:rPr>
      </w:pPr>
      <w:r>
        <w:rPr>
          <w:rFonts w:ascii="仿宋" w:eastAsia="仿宋" w:hAnsi="仿宋" w:hint="eastAsia"/>
          <w:sz w:val="32"/>
          <w:szCs w:val="32"/>
        </w:rPr>
        <w:t>需要本人携带身份证和社保卡到社保卡所属的银行任何一个网点打印社保卡消费明细。</w:t>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z w:val="32"/>
          <w:szCs w:val="32"/>
        </w:rPr>
        <w:t>10.东营市辖区社会保障卡服务大厅</w:t>
      </w:r>
    </w:p>
    <w:p w:rsidR="00E161D9" w:rsidRDefault="00E161D9" w:rsidP="00E161D9">
      <w:pPr>
        <w:pStyle w:val="a3"/>
        <w:shd w:val="clear" w:color="auto" w:fill="FFFFFF"/>
        <w:spacing w:before="0" w:beforeAutospacing="0" w:after="0" w:afterAutospacing="0" w:line="720" w:lineRule="atLeast"/>
        <w:jc w:val="center"/>
        <w:rPr>
          <w:rFonts w:ascii="微软雅黑" w:eastAsia="微软雅黑" w:hAnsi="微软雅黑" w:hint="eastAsia"/>
          <w:sz w:val="21"/>
          <w:szCs w:val="21"/>
        </w:rPr>
      </w:pPr>
      <w:r>
        <w:rPr>
          <w:rFonts w:ascii="仿宋" w:eastAsia="仿宋" w:hAnsi="仿宋"/>
          <w:noProof/>
          <w:sz w:val="32"/>
          <w:szCs w:val="32"/>
        </w:rPr>
        <w:lastRenderedPageBreak/>
        <w:drawing>
          <wp:inline distT="0" distB="0" distL="0" distR="0">
            <wp:extent cx="4758055" cy="8305800"/>
            <wp:effectExtent l="0" t="0" r="4445" b="0"/>
            <wp:docPr id="5" name="图片 5" descr="http://wzqlogin2.upc.edu.cn/_upload/article/images/be/44/bb0d63a04924b2f1492b7044214f/44ab22e5-3a56-49ab-9f7b-5faedbe4ac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zqlogin2.upc.edu.cn/_upload/article/images/be/44/bb0d63a04924b2f1492b7044214f/44ab22e5-3a56-49ab-9f7b-5faedbe4ac4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58055" cy="8305800"/>
                    </a:xfrm>
                    <a:prstGeom prst="rect">
                      <a:avLst/>
                    </a:prstGeom>
                    <a:noFill/>
                    <a:ln>
                      <a:noFill/>
                    </a:ln>
                  </pic:spPr>
                </pic:pic>
              </a:graphicData>
            </a:graphic>
          </wp:inline>
        </w:drawing>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pacing w:val="30"/>
          <w:sz w:val="32"/>
          <w:szCs w:val="32"/>
        </w:rPr>
        <w:t>11.东营市辖区社会保障卡即时制卡服务网点</w:t>
      </w:r>
    </w:p>
    <w:p w:rsidR="00E161D9" w:rsidRDefault="00E161D9" w:rsidP="00E161D9">
      <w:pPr>
        <w:pStyle w:val="a3"/>
        <w:shd w:val="clear" w:color="auto" w:fill="FFFFFF"/>
        <w:spacing w:before="0" w:beforeAutospacing="0" w:after="0" w:afterAutospacing="0" w:line="720" w:lineRule="atLeast"/>
        <w:jc w:val="center"/>
        <w:rPr>
          <w:rFonts w:ascii="微软雅黑" w:eastAsia="微软雅黑" w:hAnsi="微软雅黑" w:hint="eastAsia"/>
          <w:sz w:val="21"/>
          <w:szCs w:val="21"/>
        </w:rPr>
      </w:pPr>
      <w:r>
        <w:rPr>
          <w:rFonts w:ascii="仿宋" w:eastAsia="仿宋" w:hAnsi="仿宋"/>
          <w:b/>
          <w:bCs/>
          <w:noProof/>
          <w:spacing w:val="30"/>
          <w:sz w:val="32"/>
          <w:szCs w:val="32"/>
        </w:rPr>
        <w:lastRenderedPageBreak/>
        <w:drawing>
          <wp:inline distT="0" distB="0" distL="0" distR="0">
            <wp:extent cx="4758055" cy="12463145"/>
            <wp:effectExtent l="0" t="0" r="4445" b="0"/>
            <wp:docPr id="4" name="图片 4" descr="http://wzqlogin2.upc.edu.cn/_upload/article/images/be/44/bb0d63a04924b2f1492b7044214f/7f7d8c84-b39d-40ab-9d49-61ffc4812f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zqlogin2.upc.edu.cn/_upload/article/images/be/44/bb0d63a04924b2f1492b7044214f/7f7d8c84-b39d-40ab-9d49-61ffc4812ff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8055" cy="12463145"/>
                    </a:xfrm>
                    <a:prstGeom prst="rect">
                      <a:avLst/>
                    </a:prstGeom>
                    <a:noFill/>
                    <a:ln>
                      <a:noFill/>
                    </a:ln>
                  </pic:spPr>
                </pic:pic>
              </a:graphicData>
            </a:graphic>
          </wp:inline>
        </w:drawing>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Style w:val="a4"/>
          <w:rFonts w:ascii="仿宋" w:eastAsia="仿宋" w:hAnsi="仿宋" w:hint="eastAsia"/>
          <w:sz w:val="32"/>
          <w:szCs w:val="32"/>
        </w:rPr>
        <w:lastRenderedPageBreak/>
        <w:t>12.电子社会保障卡申领步骤</w:t>
      </w:r>
    </w:p>
    <w:p w:rsidR="00E161D9" w:rsidRDefault="00E161D9" w:rsidP="00E161D9">
      <w:pPr>
        <w:pStyle w:val="a3"/>
        <w:shd w:val="clear" w:color="auto" w:fill="FFFFFF"/>
        <w:spacing w:before="0" w:beforeAutospacing="0" w:after="0" w:afterAutospacing="0" w:line="720" w:lineRule="atLeast"/>
        <w:jc w:val="center"/>
        <w:rPr>
          <w:rFonts w:ascii="微软雅黑" w:eastAsia="微软雅黑" w:hAnsi="微软雅黑" w:hint="eastAsia"/>
          <w:sz w:val="21"/>
          <w:szCs w:val="21"/>
        </w:rPr>
      </w:pPr>
      <w:r>
        <w:rPr>
          <w:rFonts w:ascii="仿宋" w:eastAsia="仿宋" w:hAnsi="仿宋"/>
          <w:noProof/>
          <w:sz w:val="32"/>
          <w:szCs w:val="32"/>
        </w:rPr>
        <w:drawing>
          <wp:inline distT="0" distB="0" distL="0" distR="0">
            <wp:extent cx="4241800" cy="6849745"/>
            <wp:effectExtent l="0" t="0" r="6350" b="8255"/>
            <wp:docPr id="3" name="图片 3" descr="http://wzqlogin2.upc.edu.cn/_upload/article/images/be/44/bb0d63a04924b2f1492b7044214f/a68cec39-8468-4eb5-96b7-cb1c626cac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zqlogin2.upc.edu.cn/_upload/article/images/be/44/bb0d63a04924b2f1492b7044214f/a68cec39-8468-4eb5-96b7-cb1c626cac9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1800" cy="6849745"/>
                    </a:xfrm>
                    <a:prstGeom prst="rect">
                      <a:avLst/>
                    </a:prstGeom>
                    <a:noFill/>
                    <a:ln>
                      <a:noFill/>
                    </a:ln>
                  </pic:spPr>
                </pic:pic>
              </a:graphicData>
            </a:graphic>
          </wp:inline>
        </w:drawing>
      </w:r>
    </w:p>
    <w:p w:rsidR="00E161D9" w:rsidRDefault="00E161D9" w:rsidP="00E161D9">
      <w:pPr>
        <w:pStyle w:val="a3"/>
        <w:shd w:val="clear" w:color="auto" w:fill="FFFFFF"/>
        <w:spacing w:before="0" w:beforeAutospacing="0" w:after="0" w:afterAutospacing="0" w:line="720" w:lineRule="atLeast"/>
        <w:rPr>
          <w:rFonts w:ascii="微软雅黑" w:eastAsia="微软雅黑" w:hAnsi="微软雅黑" w:hint="eastAsia"/>
          <w:sz w:val="21"/>
          <w:szCs w:val="21"/>
        </w:rPr>
      </w:pPr>
      <w:r>
        <w:rPr>
          <w:rFonts w:ascii="微软雅黑" w:eastAsia="微软雅黑" w:hAnsi="微软雅黑" w:hint="eastAsia"/>
          <w:sz w:val="21"/>
          <w:szCs w:val="21"/>
        </w:rPr>
        <w:t> </w:t>
      </w:r>
    </w:p>
    <w:p w:rsidR="00E161D9" w:rsidRDefault="00E161D9" w:rsidP="00E161D9">
      <w:pPr>
        <w:pStyle w:val="a3"/>
        <w:shd w:val="clear" w:color="auto" w:fill="FFFFFF"/>
        <w:spacing w:before="0" w:beforeAutospacing="0" w:after="0" w:afterAutospacing="0"/>
        <w:jc w:val="center"/>
        <w:rPr>
          <w:rFonts w:ascii="微软雅黑" w:eastAsia="微软雅黑" w:hAnsi="微软雅黑" w:hint="eastAsia"/>
          <w:sz w:val="21"/>
          <w:szCs w:val="21"/>
        </w:rPr>
      </w:pPr>
      <w:r>
        <w:rPr>
          <w:rFonts w:ascii="微软雅黑" w:eastAsia="微软雅黑" w:hAnsi="微软雅黑"/>
          <w:noProof/>
          <w:sz w:val="21"/>
          <w:szCs w:val="21"/>
        </w:rPr>
        <w:lastRenderedPageBreak/>
        <w:drawing>
          <wp:inline distT="0" distB="0" distL="0" distR="0">
            <wp:extent cx="4453255" cy="6468745"/>
            <wp:effectExtent l="0" t="0" r="4445" b="8255"/>
            <wp:docPr id="2" name="图片 2" descr="http://wzqlogin2.upc.edu.cn/_upload/article/images/be/44/bb0d63a04924b2f1492b7044214f/65db6c85-79f4-4168-a633-fb708baa44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zqlogin2.upc.edu.cn/_upload/article/images/be/44/bb0d63a04924b2f1492b7044214f/65db6c85-79f4-4168-a633-fb708baa44f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3255" cy="6468745"/>
                    </a:xfrm>
                    <a:prstGeom prst="rect">
                      <a:avLst/>
                    </a:prstGeom>
                    <a:noFill/>
                    <a:ln>
                      <a:noFill/>
                    </a:ln>
                  </pic:spPr>
                </pic:pic>
              </a:graphicData>
            </a:graphic>
          </wp:inline>
        </w:drawing>
      </w:r>
    </w:p>
    <w:p w:rsidR="00E161D9" w:rsidRDefault="00E161D9" w:rsidP="00E161D9">
      <w:pPr>
        <w:pStyle w:val="a3"/>
        <w:shd w:val="clear" w:color="auto" w:fill="FFFFFF"/>
        <w:spacing w:before="0" w:beforeAutospacing="0" w:after="0" w:afterAutospacing="0"/>
        <w:rPr>
          <w:rFonts w:ascii="微软雅黑" w:eastAsia="微软雅黑" w:hAnsi="微软雅黑" w:hint="eastAsia"/>
          <w:sz w:val="21"/>
          <w:szCs w:val="21"/>
        </w:rPr>
      </w:pPr>
    </w:p>
    <w:p w:rsidR="00E161D9" w:rsidRDefault="00E161D9" w:rsidP="00E161D9">
      <w:pPr>
        <w:pStyle w:val="a3"/>
        <w:shd w:val="clear" w:color="auto" w:fill="FFFFFF"/>
        <w:spacing w:before="0" w:beforeAutospacing="0" w:after="0" w:afterAutospacing="0"/>
        <w:jc w:val="center"/>
        <w:rPr>
          <w:rFonts w:ascii="微软雅黑" w:eastAsia="微软雅黑" w:hAnsi="微软雅黑" w:hint="eastAsia"/>
          <w:sz w:val="21"/>
          <w:szCs w:val="21"/>
        </w:rPr>
      </w:pPr>
    </w:p>
    <w:p w:rsidR="00E161D9" w:rsidRDefault="00E161D9" w:rsidP="00E161D9">
      <w:pPr>
        <w:pStyle w:val="a3"/>
        <w:shd w:val="clear" w:color="auto" w:fill="FFFFFF"/>
        <w:spacing w:before="0" w:beforeAutospacing="0" w:after="0" w:afterAutospacing="0"/>
        <w:rPr>
          <w:rFonts w:ascii="微软雅黑" w:eastAsia="微软雅黑" w:hAnsi="微软雅黑" w:hint="eastAsia"/>
          <w:sz w:val="21"/>
          <w:szCs w:val="21"/>
        </w:rPr>
      </w:pPr>
    </w:p>
    <w:p w:rsidR="00E161D9" w:rsidRDefault="00E161D9" w:rsidP="00E161D9">
      <w:pPr>
        <w:pStyle w:val="a3"/>
        <w:shd w:val="clear" w:color="auto" w:fill="FFFFFF"/>
        <w:spacing w:before="0" w:beforeAutospacing="0" w:after="0" w:afterAutospacing="0"/>
        <w:jc w:val="center"/>
        <w:rPr>
          <w:rFonts w:ascii="微软雅黑" w:eastAsia="微软雅黑" w:hAnsi="微软雅黑" w:hint="eastAsia"/>
          <w:sz w:val="21"/>
          <w:szCs w:val="21"/>
        </w:rPr>
      </w:pPr>
      <w:r>
        <w:rPr>
          <w:rFonts w:ascii="微软雅黑" w:eastAsia="微软雅黑" w:hAnsi="微软雅黑"/>
          <w:noProof/>
          <w:sz w:val="21"/>
          <w:szCs w:val="21"/>
        </w:rPr>
        <w:lastRenderedPageBreak/>
        <w:drawing>
          <wp:inline distT="0" distB="0" distL="0" distR="0">
            <wp:extent cx="4572000" cy="6773545"/>
            <wp:effectExtent l="0" t="0" r="0" b="8255"/>
            <wp:docPr id="1" name="图片 1" descr="http://wzqlogin2.upc.edu.cn/_upload/article/images/be/44/bb0d63a04924b2f1492b7044214f/b3eaac8e-57bf-458b-b11c-6fd817673c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zqlogin2.upc.edu.cn/_upload/article/images/be/44/bb0d63a04924b2f1492b7044214f/b3eaac8e-57bf-458b-b11c-6fd817673cc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6773545"/>
                    </a:xfrm>
                    <a:prstGeom prst="rect">
                      <a:avLst/>
                    </a:prstGeom>
                    <a:noFill/>
                    <a:ln>
                      <a:noFill/>
                    </a:ln>
                  </pic:spPr>
                </pic:pic>
              </a:graphicData>
            </a:graphic>
          </wp:inline>
        </w:drawing>
      </w:r>
    </w:p>
    <w:p w:rsidR="00E161D9" w:rsidRDefault="00E161D9" w:rsidP="00E161D9">
      <w:pPr>
        <w:pStyle w:val="a3"/>
        <w:shd w:val="clear" w:color="auto" w:fill="FFFFFF"/>
        <w:spacing w:before="0" w:beforeAutospacing="0" w:after="0" w:afterAutospacing="0"/>
        <w:rPr>
          <w:rFonts w:ascii="微软雅黑" w:eastAsia="微软雅黑" w:hAnsi="微软雅黑" w:hint="eastAsia"/>
          <w:sz w:val="21"/>
          <w:szCs w:val="21"/>
        </w:rPr>
      </w:pPr>
    </w:p>
    <w:p w:rsidR="008E38F9" w:rsidRDefault="008E38F9">
      <w:bookmarkStart w:id="0" w:name="_GoBack"/>
      <w:bookmarkEnd w:id="0"/>
    </w:p>
    <w:sectPr w:rsidR="008E38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7D3"/>
    <w:rsid w:val="008E38F9"/>
    <w:rsid w:val="00B617D3"/>
    <w:rsid w:val="00E16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47810-0710-4A2E-8E0A-62B8FF0E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61D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161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27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2020-07-02T08:54:00Z</dcterms:created>
  <dcterms:modified xsi:type="dcterms:W3CDTF">2020-07-02T08:54:00Z</dcterms:modified>
</cp:coreProperties>
</file>